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各高校“校园贷”摸排情况登记表</w:t>
      </w:r>
    </w:p>
    <w:bookmarkEnd w:id="0"/>
    <w:tbl>
      <w:tblPr>
        <w:tblStyle w:val="3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5"/>
        <w:gridCol w:w="1155"/>
        <w:gridCol w:w="864"/>
        <w:gridCol w:w="945"/>
        <w:gridCol w:w="1071"/>
        <w:gridCol w:w="810"/>
        <w:gridCol w:w="870"/>
        <w:gridCol w:w="2160"/>
        <w:gridCol w:w="900"/>
        <w:gridCol w:w="720"/>
        <w:gridCol w:w="690"/>
        <w:gridCol w:w="750"/>
        <w:gridCol w:w="1395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专业年级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放贷方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涉贷基本情况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是否建档立卡贫困户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借贷用途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借贷本息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还贷情况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催贷形式（暴力、软暴力或其他）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处置情况（是否报案）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*****大学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国贸</w:t>
            </w:r>
            <w:r>
              <w:rPr>
                <w:rFonts w:hint="eastAsia"/>
                <w:vertAlign w:val="baseline"/>
                <w:lang w:val="en-US" w:eastAsia="zh-CN"/>
              </w:rPr>
              <w:t>2016级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名校贷、人人分期、桔子分期等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自2015年11月至今，网络平台一共借款7.33万元，已偿还0.42万元，至今欠款6.91万元，全部的欠款中自己用于消费1万元左右，其他的都是给其他平台付缴手续费或者高昂的中介费，除此之外，还先后通过私人借款平台借款7.3万元以偿还2.13万元，至今欠款1.87万元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消费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11.63万元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3万元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电话谩骂</w:t>
            </w:r>
            <w:r>
              <w:rPr>
                <w:rFonts w:hint="eastAsia"/>
                <w:vertAlign w:val="baseline"/>
                <w:lang w:val="en-US" w:eastAsia="zh-CN"/>
              </w:rPr>
              <w:t>;短信轰炸；假法院传票恐吓等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已报案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本行为例，填表时删除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说明：</w:t>
            </w:r>
          </w:p>
        </w:tc>
        <w:tc>
          <w:tcPr>
            <w:tcW w:w="14130" w:type="dxa"/>
            <w:gridSpan w:val="14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</w:rPr>
              <w:t>户籍一栏填写农村或城</w:t>
            </w:r>
            <w:r>
              <w:rPr>
                <w:rFonts w:hint="eastAsia"/>
                <w:vertAlign w:val="baseline"/>
                <w:lang w:eastAsia="zh-CN"/>
              </w:rPr>
              <w:t>市；</w:t>
            </w: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</w:rPr>
              <w:t>借贷用途一栏选择消费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培训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创业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其他进行填写，如选择</w:t>
            </w:r>
            <w:r>
              <w:rPr>
                <w:rFonts w:hint="eastAsia"/>
                <w:vertAlign w:val="baseline"/>
                <w:lang w:eastAsia="zh-CN"/>
              </w:rPr>
              <w:t>“</w:t>
            </w:r>
            <w:r>
              <w:rPr>
                <w:rFonts w:hint="eastAsia"/>
                <w:vertAlign w:val="baseline"/>
              </w:rPr>
              <w:t>其他</w:t>
            </w:r>
            <w:r>
              <w:rPr>
                <w:rFonts w:hint="eastAsia"/>
                <w:vertAlign w:val="baseline"/>
                <w:lang w:eastAsia="zh-CN"/>
              </w:rPr>
              <w:t>”</w:t>
            </w:r>
            <w:r>
              <w:rPr>
                <w:rFonts w:hint="eastAsia"/>
                <w:vertAlign w:val="baseline"/>
              </w:rPr>
              <w:t>请简要说明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</w:rPr>
              <w:t>第一横行为例，填表时删除，4本表可续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vertAlign w:val="baseline"/>
              </w:rPr>
              <w:t>如有重大情况可另附说明。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bw</dc:creator>
  <cp:lastModifiedBy>bw</cp:lastModifiedBy>
  <dcterms:modified xsi:type="dcterms:W3CDTF">2019-09-11T08:40:03Z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