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小标宋" w:hAnsi="黑体" w:eastAsia="小标宋"/>
          <w:b/>
          <w:sz w:val="36"/>
          <w:szCs w:val="36"/>
        </w:rPr>
      </w:pPr>
      <w:bookmarkStart w:id="0" w:name="_GoBack"/>
      <w:r>
        <w:rPr>
          <w:rFonts w:hint="eastAsia" w:ascii="小标宋" w:hAnsi="黑体" w:eastAsia="小标宋"/>
          <w:b/>
          <w:sz w:val="36"/>
          <w:szCs w:val="36"/>
        </w:rPr>
        <w:t>二级学院校园安全信息员统计表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                             填报日期：</w:t>
      </w:r>
    </w:p>
    <w:tbl>
      <w:tblPr>
        <w:tblStyle w:val="2"/>
        <w:tblW w:w="8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85"/>
        <w:gridCol w:w="255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职务或班级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第三级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第四级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备注：二级学院四级校园安全信息员队伍包括，第一级是院长和党总支书记，第二级是主管学生工作副书记，第三级是党政办主任和学工办主任，第四级是教师代表和每班级男女学生代表各一名。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4D2E"/>
    <w:rsid w:val="1A9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2019-09-03T00:10:00Z</dcterms:created>
  <dc:creator>bw</dc:creator>
  <cp:lastModifiedBy>bw</cp:lastModifiedBy>
  <dcterms:modified xsi:type="dcterms:W3CDTF">2019-09-03T00:11:57Z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